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22.0" w:type="dxa"/>
        <w:jc w:val="center"/>
        <w:tblLayout w:type="fixed"/>
        <w:tblLook w:val="0000"/>
      </w:tblPr>
      <w:tblGrid>
        <w:gridCol w:w="4788"/>
        <w:gridCol w:w="5734"/>
        <w:tblGridChange w:id="0">
          <w:tblGrid>
            <w:gridCol w:w="4788"/>
            <w:gridCol w:w="5734"/>
          </w:tblGrid>
        </w:tblGridChange>
      </w:tblGrid>
      <w:tr>
        <w:trPr>
          <w:cantSplit w:val="0"/>
          <w:trHeight w:val="1257"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GIÁO DỤC VÀ ĐÀO TẠO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HỒNG THÁI TÂY</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170196</wp:posOffset>
                      </wp:positionV>
                      <wp:extent cx="2284095" cy="12700"/>
                      <wp:effectExtent b="0" l="0" r="0" t="0"/>
                      <wp:wrapNone/>
                      <wp:docPr id="6" name=""/>
                      <a:graphic>
                        <a:graphicData uri="http://schemas.microsoft.com/office/word/2010/wordprocessingShape">
                          <wps:wsp>
                            <wps:cNvCnPr/>
                            <wps:spPr>
                              <a:xfrm>
                                <a:off x="4203953" y="3780000"/>
                                <a:ext cx="22840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170196</wp:posOffset>
                      </wp:positionV>
                      <wp:extent cx="228409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84095" cy="12700"/>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/KH-TrTHCS</w:t>
            </w:r>
          </w:p>
        </w:tc>
        <w:tc>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596900</wp:posOffset>
                      </wp:positionH>
                      <wp:positionV relativeFrom="paragraph">
                        <wp:posOffset>195596</wp:posOffset>
                      </wp:positionV>
                      <wp:extent cx="2057400" cy="12700"/>
                      <wp:effectExtent b="0" l="0" r="0" t="0"/>
                      <wp:wrapNone/>
                      <wp:docPr id="5" name=""/>
                      <a:graphic>
                        <a:graphicData uri="http://schemas.microsoft.com/office/word/2010/wordprocessingShape">
                          <wps:wsp>
                            <wps:cNvCnPr/>
                            <wps:spPr>
                              <a:xfrm>
                                <a:off x="4317300" y="3780000"/>
                                <a:ext cx="2057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596900</wp:posOffset>
                      </wp:positionH>
                      <wp:positionV relativeFrom="paragraph">
                        <wp:posOffset>195596</wp:posOffset>
                      </wp:positionV>
                      <wp:extent cx="205740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57400" cy="12700"/>
                              </a:xfrm>
                              <a:prstGeom prst="rect"/>
                              <a:ln/>
                            </pic:spPr>
                          </pic:pic>
                        </a:graphicData>
                      </a:graphic>
                    </wp:anchor>
                  </w:drawing>
                </mc:Fallback>
              </mc:AlternateConten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Đông Triều, ngày 28 tháng 11 năm 2021</w:t>
            </w:r>
          </w:p>
        </w:tc>
      </w:tr>
    </w:tbl>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nhiệm vụ trọng tâm tháng 12- Năm học 2021-2022</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công tác tháng 11</w:t>
      </w:r>
    </w:p>
    <w:p w:rsidR="00000000" w:rsidDel="00000000" w:rsidP="00000000" w:rsidRDefault="00000000" w:rsidRPr="00000000" w14:paraId="0000000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+/Chuyên môn: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thành công tác điều tra phổ cập GD, XMC 2021.</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hình thức học trực tiếp sang trực tuyến do tình hình dịch Covid-19 đối với toàn trường. Tất cả GV đáp ứng tốt nhiệm vụ vừa tham gia công tác phòng chống dịch vừa thực hiện dạy học hiệu quả. Học sinh nghiêm túc tham gia các tiết học với sĩ số các tiết học tương đối đầy đủ, tương tác tốt với GVBM, các đối tượng học sinh vừa điều trị vừa tham gia học tập: 2 HS, ý thức học tập tích cực.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lịch kiểm tra giữa kỳ sang thời gian học trực tiếp trở lại (Ngày 29,30/11; 01/12).</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Tồn tại:</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Còn một số tiết số lượng học sinh tham gia chưa đầy đủ.</w:t>
      </w:r>
    </w:p>
    <w:p w:rsidR="00000000" w:rsidDel="00000000" w:rsidP="00000000" w:rsidRDefault="00000000" w:rsidRPr="00000000" w14:paraId="0000001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+/Hoạt động Đội: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Dừng hoạt động thi đua chào mừng kỷ niệm 39 năm Ngày Nhà giáo Việt Nam</w:t>
      </w:r>
    </w:p>
    <w:p w:rsidR="00000000" w:rsidDel="00000000" w:rsidP="00000000" w:rsidRDefault="00000000" w:rsidRPr="00000000" w14:paraId="0000001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Công tác phòng dịch:</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nghiêm túc các quy định phòng dịch, cách ly đối với các đối tượng F1, F2.</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Phối hợp tốt tổ chức tiêm vacxin phòng covid-19 cho 267 học sinh độ tuổi 12 đến dưới 18.</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kế hoạch đáp ứng yêu cầu chủ động triển khai tổ chức dạy và học đáp ứng linh hoạt công tác phòng, chống dịch bệnh COVID-19 để triển khai thực hiện ngay khi học sinh đi học trực tiếp (29/11/2021).</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Triển khai công tác tháng 12</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"Uống nước nhớ nguồn"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Công tác phòng dịch:</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và triển khai thực hiện kế hoạch dạy học đáp ứng linh hoạt công tác phòng, chống dịch bệnh COVID-19.</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nghiêm các quy định về phòng chống dịch bệnh covid-19 theo CV số 57/THCS ngày 26/11/2021 của nhà trường.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tầm soát nhanh covid-19 đối với các đối tượng có nguy cơ cao và ngẫu nhiên hàng tuần với số lượng tối thiểu 5% đối với cả GV và HS.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Công tác phát triển:</w:t>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Quan tâm HS có hoàn cảnh đặc biệt khó khăn: GVCN quan tâm đến sự thay đổi tâm sinh lý của học sinh để có biện pháp giáo dục phù hợp. Tạo ra các hoạt động vui chơi bổ ích trong các giờ sinh hoạt tập thể để thu hút học sinh đến trường, học sinh cảm nhận được "Mỗi ngày đến trường là một ngày vui", thay đổi hình thức sinh hoạt 10 phút đầu giờ tạo không khí thoải mái, vui vẻ phấn khởi và hiệu quả cho 1 ngày học.</w:t>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 Giáo dục toàn diện:</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2.1. Giáo dục đạo đức và pháp luật:</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các hoạt động hưởng ứng Tháng hành động Quốc gia phòng chống HIV/AIDS.</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các HĐ chào mừng ngày 22/12, giáo dục truyền thống “Uống nước nhớ nguồn”.</w:t>
      </w:r>
    </w:p>
    <w:p w:rsidR="00000000" w:rsidDel="00000000" w:rsidP="00000000" w:rsidRDefault="00000000" w:rsidRPr="00000000" w14:paraId="0000002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hoạt động tổ chức trong khuôn khổ các giờ HĐNGLL, Chào cờ, Sinh hoạt đảm bảo công tác phòng dịch)</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niên...tổ chức giao ước thi đua giữa các lớp và ký cam kết không vi phạm, vận động người thân không sản xuất, nhập khẩu, tàng trữ, vận chuyển, buôn bán: đốt, thả “đèn trời”, vũ khí, vật liệu nổ, công cụ hỗ trợ.</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công tác giáo dục ATGT: Tăng cường quản lý, giám sát để giải tỏa khu vực cổng trường cuối buổi học. Nhà trường, lớp, liên đội xây dựng quy chế giám sát, nghiêm cấm triệt để việc học sinh tham gia giao thông bằng xe máy điện và xe đạp điện không đội mũ bảo hiểm.</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giảng dạy các bộ môn văn hóa và các HĐ NGLL.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củng cố nề nếp đã cam kết của PHHS về việc giáo dục con em chấp hành nghiêm quy định phòng dịch </w:t>
      </w:r>
      <w:r w:rsidDel="00000000" w:rsidR="00000000" w:rsidRPr="00000000">
        <w:rPr>
          <w:rFonts w:ascii="Times New Roman" w:cs="Times New Roman" w:eastAsia="Times New Roman" w:hAnsi="Times New Roman"/>
          <w:b w:val="1"/>
          <w:i w:val="1"/>
          <w:sz w:val="28"/>
          <w:szCs w:val="28"/>
          <w:rtl w:val="0"/>
        </w:rPr>
        <w:t xml:space="preserve">Một cung đường hai điểm đến</w:t>
      </w:r>
      <w:r w:rsidDel="00000000" w:rsidR="00000000" w:rsidRPr="00000000">
        <w:rPr>
          <w:rFonts w:ascii="Times New Roman" w:cs="Times New Roman" w:eastAsia="Times New Roman" w:hAnsi="Times New Roman"/>
          <w:sz w:val="28"/>
          <w:szCs w:val="28"/>
          <w:rtl w:val="0"/>
        </w:rPr>
        <w:t xml:space="preserve"> và an toàn khi tham gia giao thông.</w:t>
      </w:r>
    </w:p>
    <w:p w:rsidR="00000000" w:rsidDel="00000000" w:rsidP="00000000" w:rsidRDefault="00000000" w:rsidRPr="00000000" w14:paraId="0000002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Dạy và học các môn văn hoá.</w:t>
      </w:r>
    </w:p>
    <w:p w:rsidR="00000000" w:rsidDel="00000000" w:rsidP="00000000" w:rsidRDefault="00000000" w:rsidRPr="00000000" w14:paraId="0000002E">
      <w:pPr>
        <w:spacing w:after="0" w:line="240" w:lineRule="auto"/>
        <w:rPr>
          <w:rFonts w:ascii="Times New Roman" w:cs="Times New Roman" w:eastAsia="Times New Roman" w:hAnsi="Times New Roman"/>
          <w:color w:val="ff0000"/>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Thực hiện tốt việc kết hợp các hình </w:t>
      </w:r>
      <w:r w:rsidDel="00000000" w:rsidR="00000000" w:rsidRPr="00000000">
        <w:rPr>
          <w:rFonts w:ascii="Times New Roman" w:cs="Times New Roman" w:eastAsia="Times New Roman" w:hAnsi="Times New Roman"/>
          <w:color w:val="ff0000"/>
          <w:sz w:val="28"/>
          <w:szCs w:val="28"/>
          <w:rtl w:val="0"/>
        </w:rPr>
        <w:t xml:space="preserve">thức dạy học trực tiếp và trực tuyến</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Kiểm tra việc thực hiện các công văn về hướng dẫn thực hiện nhiệm vụ chuyên </w:t>
      </w:r>
      <w:r w:rsidDel="00000000" w:rsidR="00000000" w:rsidRPr="00000000">
        <w:rPr>
          <w:rFonts w:ascii="Times New Roman" w:cs="Times New Roman" w:eastAsia="Times New Roman" w:hAnsi="Times New Roman"/>
          <w:sz w:val="28"/>
          <w:szCs w:val="28"/>
          <w:rtl w:val="0"/>
        </w:rPr>
        <w:t xml:space="preserve">môn (BPCM).</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công tác chỉ đạo của các tổ chuyên môn đối với việc việc đánh giá và cho điểm của giáo viên với học sinh, việc cập nhật điểm lên hệ thống SMAS.</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chuyên môn: Theo KH kiểm tra nội bộ tháng 12 năm học 2021-2022.</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sz w:val="28"/>
          <w:szCs w:val="28"/>
          <w:highlight w:val="red"/>
          <w:rtl w:val="0"/>
        </w:rPr>
        <w:t xml:space="preserve">- Thực hiện chuyên đề cấp cụm: </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Thực hiện dạy môn Giáo dục địa phương đối với khối lớp 6.</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thực hiện nghiêm các quy chế chuyên môn: Giảng dạy theo phân phối chương trình và chủ đề đã được phê duyệt của nhà trường, quản lý ghi chép các loại hồ sơ theo đúng hướng dẫn.</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Tăng cường công tác bồi dưỡng đội tuyển HS giỏi, tổ chức thi loại lựa chọn đội tuyển có chất lượng để tham dự thi HSG cấp Thị xã.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đạo HS yếu và tiến hành thanh toán học sinh yếu. Tổ chức dạy cho HS lớp 9 đáp ứng nhu cầu ôn tập luyện thi tuyển sinh vào THPT năm học 2022-2023 khi đảm bảo an toàn về dịch bệnh.</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quản lý, chỉ đạo thực hiện nghiêm túc quy định về dạy thêm, học thêm.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hướng dẫn học kết hợp với ôn chuẩn bị kiểm tra cuối học kỳ 1.</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kế hoạch kiểm tra cuối học kỳ 1 năm học 2021-2022 theo lịch chỉ đạo của PGD.</w:t>
      </w:r>
    </w:p>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2.3. Giáo dục thể chất- thẩm mỹ và HĐNG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giáo dục ý thức giữ vệ sinh cá nhân, tập thể. Thực hiện tuyên truyền các hoạt động phòng chống các dịch, bệnh, tật trong trường học, tiếp tục thực hiện công tác phòng chống dịch Covid-19 phù hợp với tình hình mới.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Duy trì và sử dụng có hiệu quả khu rửa tay sát khuẩn, tăng cường công tác vệ sinh môi trường, giữ gìn lớp học sạch, đẹp. Giáo dục ý thức ăn uống sạch sẽ, hợp vệ sinh cho học sinh.</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thực hiện các nội dung của phong trào thi đua “Xây dựng lớp học thân thiện”, chú trọng giáo dục rèn kỹ năng sống cho HS: luôn chủ động, tự giác trong việc xây dựng trường lớp xanh, sạch, đẹp, an toàn.</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dạy và học môn Tin học là môn học ngoài giờ chính khóa đối với học sinh đăng ký tự nguyện.</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2.4. Giáo dục lao động - Hướng nghiệp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tổ chức học HN cho HS khối 9.</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hơn nữa công tác vệ sinh lớp học, vệ sinh chuyên đảm bảo chất lượng thường xuyên.</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sóc vườn mai vàng Yên Tử và tổng vệ sinh khu di tích Bác Hồ dừng chân.</w:t>
      </w:r>
    </w:p>
    <w:p w:rsidR="00000000" w:rsidDel="00000000" w:rsidP="00000000" w:rsidRDefault="00000000" w:rsidRPr="00000000" w14:paraId="0000004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điều kiện thiết yếu. </w:t>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ngũ: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bồi dưỡng đội ngũ về nhận thức và tư tưởng thông qua việc thực hiện "Học tập và làm theo tư tưởng, phong cách tấm gương đạo đức Hồ Chí Minh".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chuyên môn nghiệp vụ thông qua các hoạt động chuyên môn: Sinh hoạt tổ, dự giờ, kiểm tra hồ sơ…</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báo chương trình, kế hoạch công tác kiểm tra nội bộ tháng 12/2022. </w:t>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CSVC: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Tăng cường quản lý và sử dụng có hiệu quả CSVC sẵn có, chú trọng sử dụng trang thiết bị đồ dùng dạy học, thiết bị ứng dụng CNTT, thiết bị dạy học ngoại ngữ, tin học, phát huy tác dụng thiết bị âm thanh tại các phòng học. Lưu ý việc sử dụng các thiết bị theo đúng hướng dẫn sử dụng, mượn và trả đồ dùng theo đúng quy định (đ/c Ngân rà soát bổ sung và triển khai lại các quy định về sử dụng PHBM, mượn trả thiết bị đồ dùng dạy học, mượn trả sách).</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Tiếp tục đầu tư sửa chữa thiết bị phục vụ dạy học.</w:t>
      </w:r>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Tổ chức - Quản lý</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tăng cường ứng dụng CNTT trong quản lý: Thực hiện công khai các KH hoạt động của nhà trường trên website, các văn bản được gửi qua hộp thư cá nhân, zalo trường.</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yêu cầu về sử dụng hợp đồng lao động theo quy định.</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và sử dụng lao động theo quyết định của UBND Thị xã đối với viên chức vị trí giáo viên.</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thiện hồ sơ đăng ký cho GV tham gia cuộc thi GVG cấp cơ sở và Hội thi KHKT dành cho HS Trung học.</w:t>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Cải cách hành chính:</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nâng cao năng lực cho cán bộ, công chức, viên chức, người lao động về thực hiện Chính quyền điện tử tại đơn vị trường.</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Kiểm tra, giám sát việc thực hiện kỷ luật, kỷ cương hành chính; xây dựng nếp sống văn hóa, văn minh trong nhà trường.</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Nhắc việc:</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sz w:val="28"/>
          <w:szCs w:val="28"/>
          <w:rtl w:val="0"/>
        </w:rPr>
        <w:t xml:space="preserve">- Tăng cường công tác vệ sinh công cộng, các phòng Thư viện, Truyền thống, nhà Lưu niệm đảm bảo thường xuyên sạch sẽ (định kỳ mỗi tuần 1 lần) và đ</w:t>
      </w:r>
      <w:r w:rsidDel="00000000" w:rsidR="00000000" w:rsidRPr="00000000">
        <w:rPr>
          <w:rFonts w:ascii="Times New Roman" w:cs="Times New Roman" w:eastAsia="Times New Roman" w:hAnsi="Times New Roman"/>
          <w:sz w:val="28"/>
          <w:szCs w:val="28"/>
          <w:highlight w:val="red"/>
          <w:rtl w:val="0"/>
        </w:rPr>
        <w:t xml:space="preserve">ặc biệt là Phòng cách ly tạm thời (vệ sinh hàng ngày).</w:t>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
        <w:tblW w:w="9444.0" w:type="dxa"/>
        <w:jc w:val="left"/>
        <w:tblInd w:w="108.0" w:type="dxa"/>
        <w:tblLayout w:type="fixed"/>
        <w:tblLook w:val="0000"/>
      </w:tblPr>
      <w:tblGrid>
        <w:gridCol w:w="4524"/>
        <w:gridCol w:w="4920"/>
        <w:tblGridChange w:id="0">
          <w:tblGrid>
            <w:gridCol w:w="4524"/>
            <w:gridCol w:w="4920"/>
          </w:tblGrid>
        </w:tblGridChange>
      </w:tblGrid>
      <w:tr>
        <w:trPr>
          <w:cantSplit w:val="0"/>
          <w:trHeight w:val="1922" w:hRule="atLeast"/>
          <w:tblHeader w:val="0"/>
        </w:trPr>
        <w:tc>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Nơi nhận:</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4"/>
                <w:szCs w:val="24"/>
                <w:rtl w:val="0"/>
              </w:rPr>
              <w:t xml:space="preserve">BGH( t/h)</w:t>
            </w:r>
          </w:p>
          <w:p w:rsidR="00000000" w:rsidDel="00000000" w:rsidP="00000000" w:rsidRDefault="00000000" w:rsidRPr="00000000" w14:paraId="0000005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Công khai trên web </w:t>
            </w:r>
          </w:p>
          <w:p w:rsidR="00000000" w:rsidDel="00000000" w:rsidP="00000000" w:rsidRDefault="00000000" w:rsidRPr="00000000" w14:paraId="00000059">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Lưu VP           </w:t>
            </w:r>
          </w:p>
          <w:p w:rsidR="00000000" w:rsidDel="00000000" w:rsidP="00000000" w:rsidRDefault="00000000" w:rsidRPr="00000000" w14:paraId="0000005A">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HIỆU TRƯỞNG</w:t>
            </w:r>
          </w:p>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Nguyễn Thị Thu Thủy</w:t>
            </w:r>
          </w:p>
        </w:tc>
      </w:tr>
    </w:tbl>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568" w:top="1134"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33F22"/>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233F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Ne6TPynv4hGZGtIpIO+QeyFoA==">AMUW2mUFWOtTjCf9N50amVeqFtm78KP7EmZHSgCP496V8jla+mbG+KaZmMw7HZn3YrcJ/WvZXByCRvxZCAgO0uEPBA1JBPPyUEAULiHddo7XeL2yME/HPfldJ9R5OikydU9pSPRopRn/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2021-11-29T06:37:00Z</dcterms:created>
  <dc:creator>Windows User</dc:creator>
</cp:coreProperties>
</file>